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02062" w14:textId="500178D2" w:rsidR="00B77D55" w:rsidRDefault="00B77D55" w:rsidP="00B77D55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58774517" w14:textId="77777777" w:rsidR="00B77D55" w:rsidRDefault="00B77D55" w:rsidP="00B77D55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к учетной политике для целей</w:t>
      </w:r>
    </w:p>
    <w:p w14:paraId="72A25600" w14:textId="77777777" w:rsidR="00B77D55" w:rsidRPr="0037161E" w:rsidRDefault="00B77D55" w:rsidP="00B77D55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бух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галтерского </w:t>
      </w: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учета,        </w:t>
      </w:r>
    </w:p>
    <w:p w14:paraId="28F7A726" w14:textId="77777777" w:rsidR="00C84C90" w:rsidRDefault="00B77D55" w:rsidP="00B77D55">
      <w:pPr>
        <w:spacing w:after="0" w:line="266" w:lineRule="auto"/>
        <w:ind w:left="835" w:hanging="72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61E">
        <w:rPr>
          <w:rFonts w:ascii="Times New Roman" w:eastAsia="Times New Roman" w:hAnsi="Times New Roman" w:cs="Times New Roman"/>
          <w:sz w:val="28"/>
          <w:szCs w:val="28"/>
        </w:rPr>
        <w:t xml:space="preserve">  утвержденной Приказом</w:t>
      </w:r>
    </w:p>
    <w:p w14:paraId="308C966C" w14:textId="77777777" w:rsidR="00C84C90" w:rsidRDefault="00C84C90" w:rsidP="00C84C90">
      <w:pPr>
        <w:keepNext/>
        <w:keepLines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title_8"/>
      <w:bookmarkStart w:id="1" w:name="_ref_584780"/>
      <w:r>
        <w:rPr>
          <w:rFonts w:ascii="Times New Roman" w:hAnsi="Times New Roman" w:cs="Times New Roman"/>
          <w:color w:val="000000" w:themeColor="text1"/>
          <w:sz w:val="28"/>
          <w:szCs w:val="28"/>
        </w:rPr>
        <w:t>от 09.01.2018 г.  № 5/1-ОД</w:t>
      </w:r>
    </w:p>
    <w:p w14:paraId="0515C8DF" w14:textId="77777777" w:rsidR="00B77D55" w:rsidRPr="00B77D55" w:rsidRDefault="00B77D55" w:rsidP="00A87A27">
      <w:pPr>
        <w:pStyle w:val="a3"/>
        <w:spacing w:line="360" w:lineRule="auto"/>
        <w:rPr>
          <w:szCs w:val="28"/>
        </w:rPr>
      </w:pPr>
      <w:r w:rsidRPr="00B77D55">
        <w:rPr>
          <w:szCs w:val="28"/>
        </w:rPr>
        <w:t>Положение о комиссии по поступлению и выбытию активов</w:t>
      </w:r>
      <w:bookmarkEnd w:id="0"/>
      <w:bookmarkEnd w:id="1"/>
    </w:p>
    <w:p w14:paraId="2FC7D5ED" w14:textId="77777777" w:rsidR="00B77D55" w:rsidRPr="00B77D55" w:rsidRDefault="00B77D55" w:rsidP="00A87A27">
      <w:pPr>
        <w:pStyle w:val="heading1normal"/>
        <w:numPr>
          <w:ilvl w:val="0"/>
          <w:numId w:val="2"/>
        </w:numPr>
        <w:spacing w:line="360" w:lineRule="auto"/>
        <w:rPr>
          <w:sz w:val="28"/>
          <w:szCs w:val="28"/>
        </w:rPr>
      </w:pPr>
      <w:bookmarkStart w:id="2" w:name="_ref_1627500"/>
      <w:r w:rsidRPr="00B77D55">
        <w:rPr>
          <w:b/>
          <w:sz w:val="28"/>
          <w:szCs w:val="28"/>
        </w:rPr>
        <w:t>Общие положения</w:t>
      </w:r>
      <w:bookmarkEnd w:id="2"/>
    </w:p>
    <w:p w14:paraId="2066A071" w14:textId="3B15BA38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" w:name="_ref_1627501"/>
      <w:r w:rsidRPr="00B77D55">
        <w:rPr>
          <w:sz w:val="28"/>
          <w:szCs w:val="28"/>
        </w:rPr>
        <w:t xml:space="preserve">Состав комиссии по поступлению и выбытию активов (далее - комиссия) утверждается ежегодно отдельным </w:t>
      </w:r>
      <w:r>
        <w:rPr>
          <w:sz w:val="28"/>
          <w:szCs w:val="28"/>
        </w:rPr>
        <w:t>приказом</w:t>
      </w:r>
      <w:r w:rsidRPr="00B77D55">
        <w:rPr>
          <w:sz w:val="28"/>
          <w:szCs w:val="28"/>
        </w:rPr>
        <w:t xml:space="preserve"> руководителя.</w:t>
      </w:r>
      <w:bookmarkEnd w:id="3"/>
    </w:p>
    <w:p w14:paraId="1C25E37F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4" w:name="_ref_1627502"/>
      <w:r w:rsidRPr="00B77D55">
        <w:rPr>
          <w:sz w:val="28"/>
          <w:szCs w:val="28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  <w:bookmarkEnd w:id="4"/>
    </w:p>
    <w:p w14:paraId="74954DCF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5" w:name="_ref_1627503"/>
      <w:r w:rsidRPr="00B77D55">
        <w:rPr>
          <w:sz w:val="28"/>
          <w:szCs w:val="28"/>
        </w:rPr>
        <w:t>Заседания комиссии проводятся по мере необходимости, но не реже одного раза в квартал.</w:t>
      </w:r>
      <w:bookmarkEnd w:id="5"/>
    </w:p>
    <w:p w14:paraId="1ED6F3C4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6" w:name="_ref_1627504"/>
      <w:r w:rsidRPr="00B77D55">
        <w:rPr>
          <w:sz w:val="28"/>
          <w:szCs w:val="28"/>
        </w:rPr>
        <w:t>Срок рассмотрения комиссией представленных ей документов не должен превышать 14 календарных дней.</w:t>
      </w:r>
      <w:bookmarkEnd w:id="6"/>
    </w:p>
    <w:p w14:paraId="37525988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7" w:name="_ref_1627505"/>
      <w:r w:rsidRPr="00B77D55">
        <w:rPr>
          <w:sz w:val="28"/>
          <w:szCs w:val="28"/>
        </w:rPr>
        <w:t>Заседание комиссии правомочно при наличии не менее 2/3 ее состава.</w:t>
      </w:r>
      <w:bookmarkEnd w:id="7"/>
    </w:p>
    <w:p w14:paraId="6D417A24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8" w:name="_ref_1627506"/>
      <w:r w:rsidRPr="00B77D55">
        <w:rPr>
          <w:sz w:val="28"/>
          <w:szCs w:val="28"/>
        </w:rPr>
        <w:t>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основе.</w:t>
      </w:r>
      <w:bookmarkEnd w:id="8"/>
    </w:p>
    <w:p w14:paraId="03F798B7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9" w:name="_ref_1627507"/>
      <w:r w:rsidRPr="00B77D55">
        <w:rPr>
          <w:sz w:val="28"/>
          <w:szCs w:val="28"/>
        </w:rPr>
        <w:t>Экспертом не может быть лицо, отвечающее за материальные ценности, в отношении которых принимается решение о списании.</w:t>
      </w:r>
      <w:bookmarkEnd w:id="9"/>
    </w:p>
    <w:p w14:paraId="4CAA4BAB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0" w:name="_ref_1627508"/>
      <w:r w:rsidRPr="00B77D55">
        <w:rPr>
          <w:sz w:val="28"/>
          <w:szCs w:val="28"/>
        </w:rPr>
        <w:t>Решение комиссии оформляется протоколом, который подписывают председатель и члены комиссии, присутствовавшие на заседании.</w:t>
      </w:r>
      <w:bookmarkEnd w:id="10"/>
    </w:p>
    <w:p w14:paraId="3C25B8E3" w14:textId="77777777" w:rsidR="00B77D55" w:rsidRPr="00B77D55" w:rsidRDefault="00B77D55" w:rsidP="00A87A27">
      <w:pPr>
        <w:pStyle w:val="heading1normal"/>
        <w:spacing w:line="360" w:lineRule="auto"/>
        <w:rPr>
          <w:sz w:val="28"/>
          <w:szCs w:val="28"/>
        </w:rPr>
      </w:pPr>
      <w:bookmarkStart w:id="11" w:name="_ref_1636341"/>
      <w:r w:rsidRPr="00B77D55">
        <w:rPr>
          <w:b/>
          <w:sz w:val="28"/>
          <w:szCs w:val="28"/>
        </w:rPr>
        <w:t>Принятие решений по поступлению активов</w:t>
      </w:r>
      <w:bookmarkEnd w:id="11"/>
    </w:p>
    <w:p w14:paraId="0E32A72C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2" w:name="_ref_1636342"/>
      <w:r w:rsidRPr="00B77D55">
        <w:rPr>
          <w:sz w:val="28"/>
          <w:szCs w:val="28"/>
        </w:rPr>
        <w:t>В части поступления активов комиссия принимает решения по следующим вопросам:</w:t>
      </w:r>
      <w:bookmarkEnd w:id="12"/>
    </w:p>
    <w:p w14:paraId="4843FA22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lastRenderedPageBreak/>
        <w:t>- физическое принятие активов в случаях, прямо предусмотренных внутренними актами организации;</w:t>
      </w:r>
    </w:p>
    <w:p w14:paraId="72DFB833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определение категории нефинансовых активов (основные средства, нематериальные активы, непроизведенные активы или материальные запасы), к которой относится поступившее имущество;</w:t>
      </w:r>
    </w:p>
    <w:p w14:paraId="0BAA722B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выбор метода определения справедливой стоимости имущества в случаях, установленных нормативными актами и (или) Учетной политикой;</w:t>
      </w:r>
    </w:p>
    <w:p w14:paraId="24EA95FE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определение справедливой стоимости безвозмездно полученного и иного имущества в случаях, установленных нормативными актами и (или) Учетной политикой;</w:t>
      </w:r>
    </w:p>
    <w:p w14:paraId="5688F7DB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определение первоначальной стоимости и метода амортизации поступивших объектов нефинансовых активов;</w:t>
      </w:r>
    </w:p>
    <w:p w14:paraId="5F996A71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определение срока полезного использования имущества в целях начисления по нему амортизации в случаях отсутствия информации в законодательстве РФ и документах производителя;</w:t>
      </w:r>
    </w:p>
    <w:p w14:paraId="1B9561BF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определение величин оценочных резервов в случаях, установленных нормативными актами и (или) Учетной политикой;</w:t>
      </w:r>
    </w:p>
    <w:p w14:paraId="4CD3970E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изменение первоначально принятых нормативных показателей функционирования объекта основных средств, в том числе в результате проведенных достройки, дооборудования, реконструкции или модернизации.</w:t>
      </w:r>
    </w:p>
    <w:p w14:paraId="6C56D68A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3" w:name="_ref_1636343"/>
      <w:r w:rsidRPr="00B77D55">
        <w:rPr>
          <w:sz w:val="28"/>
          <w:szCs w:val="28"/>
        </w:rPr>
        <w:t>Решение о первоначальной стоимости объектов нефинансовых активов при их приобретении, сооружении, изготовлении (создании) принимается комиссией на основании контрактов, договоров, актов приемки-сдачи выполненных работ, накладных и других сопроводительных документов поставщика.</w:t>
      </w:r>
      <w:bookmarkEnd w:id="13"/>
    </w:p>
    <w:p w14:paraId="5A715FE5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4" w:name="_ref_1636344"/>
      <w:r w:rsidRPr="00B77D55">
        <w:rPr>
          <w:sz w:val="28"/>
          <w:szCs w:val="28"/>
        </w:rPr>
        <w:lastRenderedPageBreak/>
        <w:t>Первоначальной стоимостью нефинансовых активов, поступивших по договорам дарения, пожертвования, признается их справедливая стоимость на дату принятия к бюджетному учету.</w:t>
      </w:r>
      <w:bookmarkEnd w:id="14"/>
    </w:p>
    <w:p w14:paraId="4A78C675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Первоначальной стоимостью нефинансовых активов, оприходованных в виде излишков, выявленных при инвентаризации, признается их справедливая стоимость на дату принятия к бюджетному учету.</w:t>
      </w:r>
    </w:p>
    <w:p w14:paraId="1662506C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Размер ущерба от недостач, хищений, подлежащих возмещению виновными лицами, определяется как справедливая стоимость имущества на день обнаружения ущерба.</w:t>
      </w:r>
    </w:p>
    <w:p w14:paraId="54B3F183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Справедливая стоимость имущества определяется комиссией по поступлению и выбытию активов методом рыночных цен, а при невозможности использовать его - методом амортизированной стоимости замещения.</w:t>
      </w:r>
    </w:p>
    <w:p w14:paraId="164503DC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Размер ущерба в виде потерь от порчи материальных ценностей, других сумм причиненного ущерба имуществу определяется как стоимость восстановления (воспроизводства) испорченного имущества.</w:t>
      </w:r>
    </w:p>
    <w:p w14:paraId="70B1DD85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5" w:name="_ref_1636345"/>
      <w:r w:rsidRPr="00B77D55">
        <w:rPr>
          <w:sz w:val="28"/>
          <w:szCs w:val="28"/>
        </w:rPr>
        <w:t>В случае достройки, реконструкции,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объекты.</w:t>
      </w:r>
      <w:bookmarkEnd w:id="15"/>
    </w:p>
    <w:p w14:paraId="728C25E8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 xml:space="preserve">Прием объектов основных средств из ремонта, реконструкции, модернизации </w:t>
      </w: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комиссия оформляет Актом приема-сдачи отремонтированных, реконструированных и модернизированных объектов основных средств </w:t>
      </w:r>
      <w:hyperlink r:id="rId5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0504103)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Частичная ликвидация объекта основных средств при выполнении работ по его реконструкции оформляется Актом приема-сдачи отремонтированных, реконструированных и модернизированных объектов основных средств </w:t>
      </w:r>
      <w:hyperlink r:id="rId6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0504103)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5973962" w14:textId="77777777" w:rsidR="00B77D55" w:rsidRPr="00B77D55" w:rsidRDefault="00B77D55" w:rsidP="00A87A27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16" w:name="_ref_1636346"/>
      <w:r w:rsidRPr="00B77D55">
        <w:rPr>
          <w:color w:val="000000" w:themeColor="text1"/>
          <w:sz w:val="28"/>
          <w:szCs w:val="28"/>
        </w:rPr>
        <w:t>Поступление нефинансовых активов комиссия оформляет следующими первичными учетными документами:</w:t>
      </w:r>
      <w:bookmarkEnd w:id="16"/>
    </w:p>
    <w:p w14:paraId="15812112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Актом о приеме-передаче объектов нефинансовых активов </w:t>
      </w:r>
      <w:hyperlink r:id="rId7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0504101)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DE796C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Приходным ордером на приемку материальных ценностей (нефинансовых активов) </w:t>
      </w:r>
      <w:hyperlink r:id="rId8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0504207)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E4DB76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Актом приемки материалов (материальных ценностей) </w:t>
      </w:r>
      <w:hyperlink r:id="rId9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0504220)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0C3EC52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7" w:name="_ref_1636347"/>
      <w:r w:rsidRPr="00B77D55">
        <w:rPr>
          <w:sz w:val="28"/>
          <w:szCs w:val="28"/>
        </w:rPr>
        <w:t>В случаях изменения первоначально принятых нормативных показателей функционирования объекта основных средств, в том числе в результате проведенной достройки, дооборудования, реконструкции или модернизации, срок полезного использования по этому объекту комиссией пересматривается.</w:t>
      </w:r>
      <w:bookmarkEnd w:id="17"/>
    </w:p>
    <w:p w14:paraId="274DF74F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18" w:name="_ref_1636348"/>
      <w:r w:rsidRPr="00B77D55">
        <w:rPr>
          <w:sz w:val="28"/>
          <w:szCs w:val="28"/>
        </w:rPr>
        <w:t>Присвоенный объекту инвентарный номер наносится материально ответственным лицом в присутствии уполномоченного члена комиссии в порядке, определенном Учетной политикой.</w:t>
      </w:r>
      <w:bookmarkEnd w:id="18"/>
    </w:p>
    <w:p w14:paraId="75154C5D" w14:textId="77777777" w:rsidR="00B77D55" w:rsidRPr="00B77D55" w:rsidRDefault="00B77D55" w:rsidP="00A87A27">
      <w:pPr>
        <w:pStyle w:val="heading1normal"/>
        <w:spacing w:line="360" w:lineRule="auto"/>
        <w:rPr>
          <w:sz w:val="28"/>
          <w:szCs w:val="28"/>
        </w:rPr>
      </w:pPr>
      <w:bookmarkStart w:id="19" w:name="_ref_1645186"/>
      <w:r w:rsidRPr="00B77D55">
        <w:rPr>
          <w:b/>
          <w:sz w:val="28"/>
          <w:szCs w:val="28"/>
        </w:rPr>
        <w:t>Принятие решений по выбытию (списанию) активов и списанию задолженности неплатежеспособных дебиторов</w:t>
      </w:r>
      <w:bookmarkEnd w:id="19"/>
    </w:p>
    <w:p w14:paraId="4D1F949B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0" w:name="_ref_1645187"/>
      <w:r w:rsidRPr="00B77D55">
        <w:rPr>
          <w:sz w:val="28"/>
          <w:szCs w:val="28"/>
        </w:rPr>
        <w:t>В части выбытия (списания) активов и задолженности комиссия принимает решения по следующим вопросам:</w:t>
      </w:r>
      <w:bookmarkEnd w:id="20"/>
    </w:p>
    <w:p w14:paraId="4F94CBDC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 выбытии (списании) нефинансовых активов (в том числе объектов движимого имущества стоимостью до 10 000 руб. включительно, учитываемых на забалансовом счете 21);</w:t>
      </w:r>
    </w:p>
    <w:p w14:paraId="1A5D90B0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 возможности использовать отдельные узлы, детали, конструкции и материалы, полученные в результате списания объектов нефинансовых активов;</w:t>
      </w:r>
    </w:p>
    <w:p w14:paraId="12847AA5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 частичной ликвидации (</w:t>
      </w:r>
      <w:proofErr w:type="spellStart"/>
      <w:r w:rsidRPr="00B77D55">
        <w:rPr>
          <w:rFonts w:ascii="Times New Roman" w:hAnsi="Times New Roman" w:cs="Times New Roman"/>
          <w:sz w:val="28"/>
          <w:szCs w:val="28"/>
        </w:rPr>
        <w:t>разукомплектации</w:t>
      </w:r>
      <w:proofErr w:type="spellEnd"/>
      <w:r w:rsidRPr="00B77D55">
        <w:rPr>
          <w:rFonts w:ascii="Times New Roman" w:hAnsi="Times New Roman" w:cs="Times New Roman"/>
          <w:sz w:val="28"/>
          <w:szCs w:val="28"/>
        </w:rPr>
        <w:t>) основных средств и об определении стоимости выбывающей части актива при его частичной ликвидации;</w:t>
      </w:r>
    </w:p>
    <w:p w14:paraId="7F61C316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 пригодности дальнейшего использования имущества, возможности и эффективности его восстановления;</w:t>
      </w:r>
    </w:p>
    <w:p w14:paraId="64861734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lastRenderedPageBreak/>
        <w:t>- о списании задолженности неплатежеспособных дебиторов, а также списании с забалансового учета задолженности, признанной безнадежной к взысканию.</w:t>
      </w:r>
    </w:p>
    <w:p w14:paraId="07351B9B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1" w:name="_ref_1645188"/>
      <w:r w:rsidRPr="00B77D55">
        <w:rPr>
          <w:sz w:val="28"/>
          <w:szCs w:val="28"/>
        </w:rPr>
        <w:t>Решение о выбытии имущества принимается, если оно:</w:t>
      </w:r>
      <w:bookmarkEnd w:id="21"/>
    </w:p>
    <w:p w14:paraId="1B70CA80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14:paraId="51154506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выбыло из владения, пользования, распоряжения вследствие гибели или уничтожения, в том числе в результате хищения, недостачи, порчи, выявленных при инвентаризации, а также если невозможно выяснить его местонахождение;</w:t>
      </w:r>
    </w:p>
    <w:p w14:paraId="3805DDAF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передается государственному (муниципальному) учреждению, органу государственной власти, местного самоуправления, государственному (муниципальному) предприятию;</w:t>
      </w:r>
    </w:p>
    <w:p w14:paraId="541648A2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в других случаях, предусмотренных законодательством РФ.</w:t>
      </w:r>
    </w:p>
    <w:p w14:paraId="75ED4252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2" w:name="_ref_1645189"/>
      <w:r w:rsidRPr="00B77D55">
        <w:rPr>
          <w:sz w:val="28"/>
          <w:szCs w:val="28"/>
        </w:rPr>
        <w:t>Решение о списании имущества принимается комиссией после проведения следующих мероприятий:</w:t>
      </w:r>
      <w:bookmarkEnd w:id="22"/>
    </w:p>
    <w:p w14:paraId="2A162AF8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осмотр имущества, подлежащего списанию (при наличии такой возможности), с учетом данных, содержащихся в учетно-технической и иной документации;</w:t>
      </w:r>
    </w:p>
    <w:p w14:paraId="2F7B2437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установление причин списания имущества: физический и (или) моральный износ, нарушение условий содержания и (или) эксплуатации, авария, стихийное бедствие, длительное неиспользование имущества, иные причины;</w:t>
      </w:r>
    </w:p>
    <w:p w14:paraId="22292DB2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установление виновных лиц, действия которых привели к необходимости списать имущество до истечения срока его полезного использования;</w:t>
      </w:r>
    </w:p>
    <w:p w14:paraId="20CAC5BB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- подготовка документов, необходимых для принятия решения о списании имущества.</w:t>
      </w:r>
    </w:p>
    <w:p w14:paraId="1E105607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3" w:name="_ref_1645190"/>
      <w:r w:rsidRPr="00B77D55">
        <w:rPr>
          <w:sz w:val="28"/>
          <w:szCs w:val="28"/>
        </w:rPr>
        <w:lastRenderedPageBreak/>
        <w:t>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учет.</w:t>
      </w:r>
      <w:bookmarkEnd w:id="23"/>
    </w:p>
    <w:p w14:paraId="73C0FBC5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Решение о списании задолженности с забалансового счета 04 комиссия принимает при признании задолженности безнадежной к взысканию после проверки документов, необходимых для списания задолженности неплатежеспособных дебиторов.</w:t>
      </w:r>
    </w:p>
    <w:p w14:paraId="4D879B5E" w14:textId="77777777" w:rsidR="00B77D55" w:rsidRPr="00B77D55" w:rsidRDefault="00B77D55" w:rsidP="00A87A27">
      <w:pPr>
        <w:pStyle w:val="2"/>
        <w:spacing w:line="360" w:lineRule="auto"/>
        <w:rPr>
          <w:color w:val="000000" w:themeColor="text1"/>
          <w:sz w:val="28"/>
          <w:szCs w:val="28"/>
        </w:rPr>
      </w:pPr>
      <w:bookmarkStart w:id="24" w:name="_ref_1645191"/>
      <w:r w:rsidRPr="00B77D55">
        <w:rPr>
          <w:color w:val="000000" w:themeColor="text1"/>
          <w:sz w:val="28"/>
          <w:szCs w:val="28"/>
        </w:rPr>
        <w:t>Выбытие (списание) нефинансовых активов оформляется следующими документами:</w:t>
      </w:r>
      <w:bookmarkEnd w:id="24"/>
    </w:p>
    <w:p w14:paraId="66604714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 о приеме-передаче объектов нефинансовых активов </w:t>
      </w:r>
      <w:hyperlink r:id="rId10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0504101)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693B39E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 о списании объектов нефинансовых активов (кроме транспортных средств) </w:t>
      </w:r>
      <w:hyperlink r:id="rId11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0504104)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5E76B6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 о списании транспортного средства </w:t>
      </w:r>
      <w:hyperlink r:id="rId12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0504105)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FCF471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 о списании мягкого и хозяйственного инвентаря </w:t>
      </w:r>
      <w:hyperlink r:id="rId13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0504143)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3A6219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Акт о списании материальных запасов </w:t>
      </w:r>
      <w:hyperlink r:id="rId14" w:history="1">
        <w:r w:rsidRPr="00B77D5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(ф. 0504230)</w:t>
        </w:r>
      </w:hyperlink>
      <w:r w:rsidRPr="00B77D5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AD24B1F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5" w:name="_ref_1645192"/>
      <w:r w:rsidRPr="00B77D55">
        <w:rPr>
          <w:sz w:val="28"/>
          <w:szCs w:val="28"/>
        </w:rPr>
        <w:t>Оформленный комиссией акт о списании имущества утверждается руководителем.</w:t>
      </w:r>
      <w:bookmarkEnd w:id="25"/>
    </w:p>
    <w:p w14:paraId="2098CFA3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6" w:name="_ref_1645193"/>
      <w:r w:rsidRPr="00B77D55">
        <w:rPr>
          <w:sz w:val="28"/>
          <w:szCs w:val="28"/>
        </w:rPr>
        <w:t>До утверждения в установленном порядке акта о списании реализация мероприятий, предусмотренных этим актом, не допускается.</w:t>
      </w:r>
      <w:bookmarkEnd w:id="26"/>
    </w:p>
    <w:p w14:paraId="21625EEF" w14:textId="77777777" w:rsidR="00B77D55" w:rsidRPr="00B77D55" w:rsidRDefault="00B77D55" w:rsidP="00A87A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D55">
        <w:rPr>
          <w:rFonts w:ascii="Times New Roman" w:hAnsi="Times New Roman" w:cs="Times New Roman"/>
          <w:sz w:val="28"/>
          <w:szCs w:val="28"/>
        </w:rPr>
        <w:t>Реализация мероприятий осуществляется самостоятельно либо с привлечением третьих лиц на основании заключенного договора и подтверждается комиссией.</w:t>
      </w:r>
    </w:p>
    <w:p w14:paraId="55E0AB93" w14:textId="77777777" w:rsidR="00B77D55" w:rsidRPr="00B77D55" w:rsidRDefault="00B77D55" w:rsidP="00A87A27">
      <w:pPr>
        <w:pStyle w:val="heading1normal"/>
        <w:spacing w:line="360" w:lineRule="auto"/>
        <w:rPr>
          <w:sz w:val="28"/>
          <w:szCs w:val="28"/>
        </w:rPr>
      </w:pPr>
      <w:bookmarkStart w:id="27" w:name="_ref_1654026"/>
      <w:r w:rsidRPr="00B77D55">
        <w:rPr>
          <w:b/>
          <w:sz w:val="28"/>
          <w:szCs w:val="28"/>
        </w:rPr>
        <w:t>Принятие решений по вопросам обесценения активов</w:t>
      </w:r>
      <w:bookmarkEnd w:id="27"/>
    </w:p>
    <w:p w14:paraId="2722FB73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8" w:name="_ref_1654027"/>
      <w:r w:rsidRPr="00B77D55">
        <w:rPr>
          <w:sz w:val="28"/>
          <w:szCs w:val="28"/>
        </w:rPr>
        <w:t>При выявлении признаков возможного обесценения (снижения убытка) соответствующие обстоятельства рассматриваются комиссией по поступлению и выбытию активов.</w:t>
      </w:r>
      <w:bookmarkEnd w:id="28"/>
    </w:p>
    <w:p w14:paraId="0415247A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29" w:name="_ref_1654028"/>
      <w:r w:rsidRPr="00B77D55">
        <w:rPr>
          <w:sz w:val="28"/>
          <w:szCs w:val="28"/>
        </w:rPr>
        <w:lastRenderedPageBreak/>
        <w:t>Если по результатам рассмотрения выявленные признаки обесценения (снижения убытка) признаны существенными, комиссия выносит заключение о необходимости определить справедливую стоимость каждого актива, по которому выявлены признаки возможного обесценения (снижения убытка), или об отсутствии такой необходимости.</w:t>
      </w:r>
      <w:bookmarkEnd w:id="29"/>
    </w:p>
    <w:p w14:paraId="3A250A8D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0" w:name="_ref_1654029"/>
      <w:r w:rsidRPr="00B77D55">
        <w:rPr>
          <w:sz w:val="28"/>
          <w:szCs w:val="28"/>
        </w:rPr>
        <w:t>Если выявленные признаки обесценения (снижения убытка) являются несущественными, комиссия выносит заключение об отсутствии необходимости определять справедливую стоимость.</w:t>
      </w:r>
      <w:bookmarkEnd w:id="30"/>
    </w:p>
    <w:p w14:paraId="3A129FD6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1" w:name="_ref_1654030"/>
      <w:r w:rsidRPr="00B77D55">
        <w:rPr>
          <w:sz w:val="28"/>
          <w:szCs w:val="28"/>
        </w:rPr>
        <w:t>В случае необходимости определить справедливую стоимость комиссия утверждает метод, который будет при этом использоваться.</w:t>
      </w:r>
      <w:bookmarkEnd w:id="31"/>
    </w:p>
    <w:p w14:paraId="778A9BB2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2" w:name="_ref_1654031"/>
      <w:r w:rsidRPr="00B77D55">
        <w:rPr>
          <w:sz w:val="28"/>
          <w:szCs w:val="28"/>
        </w:rPr>
        <w:t>Заключение о необходимости (отсутствии необходимости) определить справедливую стоимость и о применяемом для этого методе оформляется в виде представления для руководителя.</w:t>
      </w:r>
      <w:bookmarkEnd w:id="32"/>
    </w:p>
    <w:p w14:paraId="1B83FC65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3" w:name="_ref_1654032"/>
      <w:r w:rsidRPr="00B77D55">
        <w:rPr>
          <w:sz w:val="28"/>
          <w:szCs w:val="28"/>
        </w:rPr>
        <w:t>В представление могут быть включены рекомендации комиссии по дальнейшему использованию имущества.</w:t>
      </w:r>
      <w:bookmarkEnd w:id="33"/>
    </w:p>
    <w:p w14:paraId="31766491" w14:textId="77777777" w:rsidR="00B77D55" w:rsidRPr="00B77D55" w:rsidRDefault="00B77D55" w:rsidP="00A87A27">
      <w:pPr>
        <w:pStyle w:val="2"/>
        <w:spacing w:line="360" w:lineRule="auto"/>
        <w:rPr>
          <w:sz w:val="28"/>
          <w:szCs w:val="28"/>
        </w:rPr>
      </w:pPr>
      <w:bookmarkStart w:id="34" w:name="_ref_1654033"/>
      <w:r w:rsidRPr="00B77D55">
        <w:rPr>
          <w:sz w:val="28"/>
          <w:szCs w:val="28"/>
        </w:rPr>
        <w:t>Если выявлены признаки снижения убытка от обесценения, а сумма убытка не подлежит восстановлению, комиссия выносит заключение о необходимости (отсутствии необходимости) скорректировать оставшийся срок полезного использования актива. Это заключение оформляется в виде представления для руководителя.</w:t>
      </w:r>
      <w:bookmarkStart w:id="35" w:name="_docEnd_8"/>
      <w:bookmarkEnd w:id="34"/>
      <w:bookmarkEnd w:id="35"/>
    </w:p>
    <w:p w14:paraId="49571B81" w14:textId="77777777" w:rsidR="008555C2" w:rsidRDefault="008555C2" w:rsidP="00A87A27">
      <w:pPr>
        <w:spacing w:line="360" w:lineRule="auto"/>
      </w:pPr>
    </w:p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58"/>
    <w:rsid w:val="0007596D"/>
    <w:rsid w:val="00214301"/>
    <w:rsid w:val="003A2B4B"/>
    <w:rsid w:val="003B6CA8"/>
    <w:rsid w:val="003E1438"/>
    <w:rsid w:val="00404DE0"/>
    <w:rsid w:val="00414E51"/>
    <w:rsid w:val="00517A1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A87A27"/>
    <w:rsid w:val="00B54026"/>
    <w:rsid w:val="00B77D55"/>
    <w:rsid w:val="00C37112"/>
    <w:rsid w:val="00C64558"/>
    <w:rsid w:val="00C84C90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73E1"/>
  <w15:chartTrackingRefBased/>
  <w15:docId w15:val="{0020245E-716A-460A-A9D1-E7A7B261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D5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7D55"/>
    <w:pPr>
      <w:keepNext/>
      <w:keepLines/>
      <w:numPr>
        <w:numId w:val="1"/>
      </w:numPr>
      <w:spacing w:before="240" w:after="120" w:line="276" w:lineRule="auto"/>
      <w:ind w:firstLine="482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B77D55"/>
    <w:pPr>
      <w:numPr>
        <w:ilvl w:val="1"/>
        <w:numId w:val="1"/>
      </w:numPr>
      <w:spacing w:before="120" w:after="120" w:line="276" w:lineRule="auto"/>
      <w:ind w:firstLine="482"/>
      <w:jc w:val="both"/>
      <w:outlineLvl w:val="1"/>
    </w:pPr>
    <w:rPr>
      <w:rFonts w:ascii="Times New Roman" w:eastAsia="Times New Roman" w:hAnsi="Times New Roman" w:cs="Times New Roman"/>
      <w:bCs/>
      <w:color w:val="auto"/>
      <w:szCs w:val="26"/>
    </w:rPr>
  </w:style>
  <w:style w:type="paragraph" w:styleId="3">
    <w:name w:val="heading 3"/>
    <w:basedOn w:val="a"/>
    <w:next w:val="a"/>
    <w:link w:val="30"/>
    <w:uiPriority w:val="9"/>
    <w:qFormat/>
    <w:rsid w:val="00B77D55"/>
    <w:pPr>
      <w:numPr>
        <w:ilvl w:val="2"/>
        <w:numId w:val="1"/>
      </w:numPr>
      <w:spacing w:before="120" w:after="120" w:line="276" w:lineRule="auto"/>
      <w:ind w:firstLine="482"/>
      <w:jc w:val="both"/>
      <w:outlineLvl w:val="2"/>
    </w:pPr>
    <w:rPr>
      <w:rFonts w:ascii="Times New Roman" w:eastAsia="Times New Roman" w:hAnsi="Times New Roman" w:cs="Times New Roman"/>
      <w:bCs/>
      <w:color w:val="auto"/>
    </w:rPr>
  </w:style>
  <w:style w:type="paragraph" w:styleId="4">
    <w:name w:val="heading 4"/>
    <w:basedOn w:val="a"/>
    <w:next w:val="a"/>
    <w:link w:val="40"/>
    <w:uiPriority w:val="9"/>
    <w:qFormat/>
    <w:rsid w:val="00B77D55"/>
    <w:pPr>
      <w:numPr>
        <w:ilvl w:val="3"/>
        <w:numId w:val="1"/>
      </w:numPr>
      <w:spacing w:before="120" w:after="120" w:line="276" w:lineRule="auto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color w:val="auto"/>
    </w:rPr>
  </w:style>
  <w:style w:type="paragraph" w:styleId="5">
    <w:name w:val="heading 5"/>
    <w:basedOn w:val="a"/>
    <w:next w:val="a"/>
    <w:link w:val="50"/>
    <w:uiPriority w:val="9"/>
    <w:qFormat/>
    <w:rsid w:val="00B77D55"/>
    <w:pPr>
      <w:keepNext/>
      <w:keepLines/>
      <w:numPr>
        <w:ilvl w:val="4"/>
        <w:numId w:val="1"/>
      </w:numPr>
      <w:spacing w:before="200" w:after="0" w:line="276" w:lineRule="auto"/>
      <w:ind w:firstLine="482"/>
      <w:jc w:val="both"/>
      <w:outlineLvl w:val="4"/>
    </w:pPr>
    <w:rPr>
      <w:rFonts w:ascii="Times New Roman" w:eastAsia="Times New Roman" w:hAnsi="Times New Roman" w:cs="Times New Roman"/>
      <w:color w:val="auto"/>
    </w:rPr>
  </w:style>
  <w:style w:type="paragraph" w:styleId="6">
    <w:name w:val="heading 6"/>
    <w:basedOn w:val="a"/>
    <w:next w:val="a"/>
    <w:link w:val="60"/>
    <w:uiPriority w:val="9"/>
    <w:qFormat/>
    <w:rsid w:val="00B77D55"/>
    <w:pPr>
      <w:keepNext/>
      <w:keepLines/>
      <w:numPr>
        <w:ilvl w:val="5"/>
        <w:numId w:val="1"/>
      </w:numPr>
      <w:spacing w:before="200" w:after="0" w:line="276" w:lineRule="auto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B77D55"/>
    <w:pPr>
      <w:keepNext/>
      <w:keepLines/>
      <w:numPr>
        <w:ilvl w:val="6"/>
        <w:numId w:val="1"/>
      </w:numPr>
      <w:spacing w:before="200" w:after="0" w:line="276" w:lineRule="auto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B77D55"/>
    <w:pPr>
      <w:keepNext/>
      <w:keepLines/>
      <w:numPr>
        <w:ilvl w:val="7"/>
        <w:numId w:val="1"/>
      </w:numPr>
      <w:spacing w:before="200" w:after="0" w:line="276" w:lineRule="auto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B77D55"/>
    <w:pPr>
      <w:keepNext/>
      <w:keepLines/>
      <w:numPr>
        <w:ilvl w:val="8"/>
        <w:numId w:val="1"/>
      </w:numPr>
      <w:spacing w:before="200" w:after="0" w:line="276" w:lineRule="auto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D5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7D55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7D55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7D55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77D55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77D55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77D55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77D55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77D55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77D55"/>
    <w:pPr>
      <w:spacing w:before="120" w:after="120" w:line="276" w:lineRule="auto"/>
      <w:ind w:firstLine="482"/>
      <w:jc w:val="both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B77D55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olor w:val="auto"/>
      <w:spacing w:val="5"/>
      <w:kern w:val="28"/>
      <w:sz w:val="28"/>
      <w:szCs w:val="52"/>
    </w:rPr>
  </w:style>
  <w:style w:type="character" w:customStyle="1" w:styleId="a4">
    <w:name w:val="Заголовок Знак"/>
    <w:aliases w:val="Текст сноски Знак Знак"/>
    <w:basedOn w:val="a0"/>
    <w:link w:val="a3"/>
    <w:uiPriority w:val="10"/>
    <w:rsid w:val="00B77D55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B77D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30D9338499B9D4E29600D213292d3R9M" TargetMode="External"/><Relationship Id="rId13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8161AA42813FF2C5CEF20345109A18045E915A4D486592BF0D91A3DD55F1698951AD9BC98E255BD5FCE890C4009338499B9D4E29600D213292d3R9M" TargetMode="External"/><Relationship Id="rId12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1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5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8161AA42813FF2C5CEF20345109A18045E915A4D486592BF0D91A3DD55F1698951AD9BC98E255BD5FCEE95C0059338499B9D4E29600D213292d3R9M" TargetMode="External"/><Relationship Id="rId14" Type="http://schemas.openxmlformats.org/officeDocument/2006/relationships/hyperlink" Target="consultantplus://offline/ref=9D8161AA42813FF2C5CEF20345109A18045E915A4D486592BF0D91A3DD55F1698951AD87C989255BD5FBE190C6009D654393C4422B6702763792395C742FD79D8FD8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1739</Words>
  <Characters>9913</Characters>
  <Application>Microsoft Office Word</Application>
  <DocSecurity>0</DocSecurity>
  <Lines>82</Lines>
  <Paragraphs>23</Paragraphs>
  <ScaleCrop>false</ScaleCrop>
  <Company/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2020-06-04T08:34:00Z</cp:lastPrinted>
  <dcterms:created xsi:type="dcterms:W3CDTF">2020-05-26T10:33:00Z</dcterms:created>
  <dcterms:modified xsi:type="dcterms:W3CDTF">2020-06-04T08:34:00Z</dcterms:modified>
</cp:coreProperties>
</file>